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02DFCBC5" w14:textId="70413DF7" w:rsidR="00B9308C" w:rsidRPr="00B9308C" w:rsidRDefault="00EF58F1" w:rsidP="00B9308C">
      <w:pPr>
        <w:ind w:left="-1080" w:right="-900"/>
        <w:jc w:val="center"/>
        <w:outlineLvl w:val="0"/>
        <w:rPr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Equipment and Calibration</w:t>
      </w:r>
    </w:p>
    <w:p w14:paraId="5E98EBFA" w14:textId="672D0833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</w:t>
      </w:r>
      <w:bookmarkStart w:id="0" w:name="_GoBack"/>
      <w:bookmarkEnd w:id="0"/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3E8FD4E9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2C186A" w:rsidRPr="002C186A" w14:paraId="76ABEC02" w14:textId="77777777" w:rsidTr="004859B3">
        <w:tc>
          <w:tcPr>
            <w:tcW w:w="625" w:type="dxa"/>
          </w:tcPr>
          <w:p w14:paraId="69D70EE8" w14:textId="35FD908C" w:rsidR="00F840CC" w:rsidRPr="002C186A" w:rsidRDefault="007A60CC" w:rsidP="00BC6391">
            <w:pPr>
              <w:tabs>
                <w:tab w:val="left" w:pos="360"/>
              </w:tabs>
              <w:rPr>
                <w:color w:val="auto"/>
                <w:sz w:val="20"/>
                <w:szCs w:val="20"/>
              </w:rPr>
            </w:pPr>
            <w:bookmarkStart w:id="1" w:name="_Hlk485836383"/>
            <w:r w:rsidRPr="002C186A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2C186A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2C186A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2EE7BBF9" w:rsidR="00F840CC" w:rsidRPr="002C186A" w:rsidRDefault="00EF58F1" w:rsidP="002C186A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Calibration is the comparison of two measurement devices or systems (one of known uncertainty (your standard) and one of unknown uncertainty (your test equipment)</w:t>
            </w:r>
            <w:r w:rsidR="00BC6391" w:rsidRPr="002C186A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bookmarkEnd w:id="1"/>
      <w:tr w:rsidR="002C186A" w:rsidRPr="002C186A" w14:paraId="3D278E7F" w14:textId="77777777" w:rsidTr="004859B3">
        <w:tc>
          <w:tcPr>
            <w:tcW w:w="625" w:type="dxa"/>
          </w:tcPr>
          <w:p w14:paraId="5F6EEA82" w14:textId="3E6ADF5B" w:rsidR="00F840CC" w:rsidRPr="002C186A" w:rsidRDefault="007A60CC" w:rsidP="00BC6391">
            <w:pPr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2C186A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2C186A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0B230452" w:rsidR="00F840CC" w:rsidRPr="002C186A" w:rsidRDefault="00EF58F1" w:rsidP="002C186A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Traceability is the property of a measurement result whereby the result can be related to a reference through a documented unbroken chain of calibrations, each contributing to the measurement uncertainty</w:t>
            </w:r>
            <w:r w:rsidR="00BC6391" w:rsidRPr="002C186A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Pr="002C186A">
              <w:rPr>
                <w:rFonts w:ascii="Franklin Gothic Book" w:hAnsi="Franklin Gothic Book"/>
                <w:sz w:val="20"/>
                <w:szCs w:val="20"/>
              </w:rPr>
              <w:t xml:space="preserve">  </w:t>
            </w:r>
          </w:p>
        </w:tc>
      </w:tr>
      <w:tr w:rsidR="002C186A" w:rsidRPr="002C186A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2C186A" w:rsidRDefault="007A60CC" w:rsidP="00BC6391">
            <w:pPr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2C186A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2C186A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59696E7E" w:rsidR="00F840CC" w:rsidRPr="002C186A" w:rsidRDefault="00EF58F1" w:rsidP="002C186A">
            <w:pPr>
              <w:widowControl/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Electronic calculations and data transfers are not subject to appropriate checks in a systematic manner</w:t>
            </w:r>
            <w:r w:rsidR="00BC6391" w:rsidRPr="002C186A">
              <w:rPr>
                <w:color w:val="auto"/>
                <w:sz w:val="20"/>
                <w:szCs w:val="20"/>
              </w:rPr>
              <w:t>.</w:t>
            </w:r>
            <w:r w:rsidR="00F840CC" w:rsidRPr="002C186A">
              <w:rPr>
                <w:color w:val="auto"/>
                <w:sz w:val="20"/>
                <w:szCs w:val="20"/>
              </w:rPr>
              <w:t xml:space="preserve">  </w:t>
            </w:r>
          </w:p>
        </w:tc>
      </w:tr>
      <w:tr w:rsidR="002C186A" w:rsidRPr="002C186A" w14:paraId="586620BC" w14:textId="77777777" w:rsidTr="004859B3">
        <w:tc>
          <w:tcPr>
            <w:tcW w:w="625" w:type="dxa"/>
          </w:tcPr>
          <w:p w14:paraId="1E09FB07" w14:textId="233A24DA" w:rsidR="003A661C" w:rsidRPr="002C186A" w:rsidRDefault="003A661C" w:rsidP="00BC6391">
            <w:pPr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2C186A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2C186A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3CC0B429" w:rsidR="00BC6391" w:rsidRPr="002C186A" w:rsidRDefault="00EF58F1" w:rsidP="002C186A">
            <w:pPr>
              <w:pStyle w:val="ListParagraph"/>
              <w:ind w:left="0" w:hanging="12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Commercial software (e.g., word processing, database, statistical programming) is considered sufficiently validated</w:t>
            </w:r>
            <w:r w:rsidR="00BC6391" w:rsidRPr="002C186A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9531AA" w:rsidRPr="002C186A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2C186A" w:rsidRPr="002C186A" w14:paraId="1E50F303" w14:textId="77777777" w:rsidTr="00C842A2">
        <w:tc>
          <w:tcPr>
            <w:tcW w:w="625" w:type="dxa"/>
          </w:tcPr>
          <w:p w14:paraId="4D3663FC" w14:textId="68428F23" w:rsidR="00BC6391" w:rsidRPr="002C186A" w:rsidRDefault="00BC6391" w:rsidP="00BC6391">
            <w:pPr>
              <w:tabs>
                <w:tab w:val="left" w:pos="360"/>
              </w:tabs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AA68626" w14:textId="77777777" w:rsidR="00BC6391" w:rsidRPr="002C186A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2C186A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47CC614F" w:rsidR="00BC6391" w:rsidRPr="002C186A" w:rsidRDefault="00EF58F1" w:rsidP="002C186A">
            <w:pPr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Only certain</w:t>
            </w:r>
            <w:r w:rsidRPr="00EF58F1">
              <w:rPr>
                <w:color w:val="auto"/>
                <w:sz w:val="20"/>
                <w:szCs w:val="20"/>
              </w:rPr>
              <w:t xml:space="preserve"> measurement and testing equipment have a significant effect on the validity and accuracy of test results</w:t>
            </w:r>
            <w:r w:rsidR="00BC6391" w:rsidRPr="002C186A">
              <w:rPr>
                <w:color w:val="auto"/>
                <w:sz w:val="20"/>
                <w:szCs w:val="20"/>
              </w:rPr>
              <w:t xml:space="preserve">. </w:t>
            </w:r>
            <w:r w:rsidR="00BC6391" w:rsidRPr="002C186A">
              <w:rPr>
                <w:b/>
                <w:color w:val="auto"/>
                <w:sz w:val="20"/>
                <w:szCs w:val="20"/>
              </w:rPr>
              <w:br/>
            </w:r>
          </w:p>
        </w:tc>
      </w:tr>
      <w:tr w:rsidR="00BC6391" w:rsidRPr="002C186A" w14:paraId="52463B42" w14:textId="77777777" w:rsidTr="00C842A2">
        <w:tc>
          <w:tcPr>
            <w:tcW w:w="625" w:type="dxa"/>
          </w:tcPr>
          <w:p w14:paraId="228BBB28" w14:textId="01EB71C1" w:rsidR="00BC6391" w:rsidRPr="002C186A" w:rsidRDefault="00BC6391" w:rsidP="00BC6391">
            <w:pPr>
              <w:tabs>
                <w:tab w:val="left" w:pos="360"/>
              </w:tabs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6597BC94" w14:textId="77777777" w:rsidR="00BC6391" w:rsidRPr="002C186A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92A6BCF" w14:textId="77777777" w:rsidR="00BC6391" w:rsidRPr="002C186A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B76A935" w14:textId="06BDFA6E" w:rsidR="00BC6391" w:rsidRPr="002C186A" w:rsidRDefault="00EF58F1" w:rsidP="002C186A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2C186A">
              <w:rPr>
                <w:rFonts w:ascii="Franklin Gothic Book" w:hAnsi="Franklin Gothic Book"/>
                <w:sz w:val="20"/>
                <w:szCs w:val="20"/>
              </w:rPr>
              <w:t>Equipment sent out of the laboratory for calibration is ready to go when received back in the laboratory.</w:t>
            </w:r>
            <w:r w:rsidR="00BC6391" w:rsidRPr="002C186A">
              <w:rPr>
                <w:rFonts w:ascii="Franklin Gothic Book" w:hAnsi="Franklin Gothic Book"/>
                <w:sz w:val="20"/>
                <w:szCs w:val="20"/>
              </w:rPr>
              <w:t xml:space="preserve">  </w:t>
            </w:r>
          </w:p>
        </w:tc>
      </w:tr>
    </w:tbl>
    <w:p w14:paraId="590CE564" w14:textId="77777777" w:rsidR="00F840CC" w:rsidRPr="002C186A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413D0290" w:rsidR="00F840CC" w:rsidRPr="002C186A" w:rsidRDefault="00EF58F1" w:rsidP="00EF58F1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bookmarkStart w:id="2" w:name="_Hlk485838190"/>
      <w:r w:rsidRPr="002C186A">
        <w:rPr>
          <w:rFonts w:ascii="Franklin Gothic Book" w:hAnsi="Franklin Gothic Book"/>
          <w:sz w:val="20"/>
          <w:szCs w:val="20"/>
        </w:rPr>
        <w:t xml:space="preserve">There need to be defined procedures and schedules for carrying out checks needed to maintain confidence in the calibration status of: </w:t>
      </w:r>
      <w:r w:rsidR="009531AA" w:rsidRPr="002C186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2C186A" w:rsidRPr="002C186A" w14:paraId="2EDC0D2C" w14:textId="77777777" w:rsidTr="00E918D8">
        <w:tc>
          <w:tcPr>
            <w:tcW w:w="1530" w:type="dxa"/>
          </w:tcPr>
          <w:p w14:paraId="14D8536F" w14:textId="77B07BA0" w:rsidR="00A419EF" w:rsidRPr="002C186A" w:rsidRDefault="00742F95" w:rsidP="00EF58F1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bookmarkStart w:id="3" w:name="_Hlk485836926"/>
            <w:r w:rsidRPr="002C186A">
              <w:rPr>
                <w:color w:val="auto"/>
                <w:sz w:val="20"/>
                <w:szCs w:val="20"/>
              </w:rPr>
              <w:t>A</w:t>
            </w:r>
            <w:r w:rsidR="007A60CC" w:rsidRPr="002C186A">
              <w:rPr>
                <w:color w:val="auto"/>
                <w:sz w:val="20"/>
                <w:szCs w:val="20"/>
              </w:rPr>
              <w:t xml:space="preserve">. </w:t>
            </w:r>
            <w:r w:rsidR="00EF58F1" w:rsidRPr="002C186A">
              <w:rPr>
                <w:color w:val="auto"/>
                <w:sz w:val="20"/>
                <w:szCs w:val="20"/>
              </w:rPr>
              <w:t>Reference standards</w:t>
            </w:r>
          </w:p>
        </w:tc>
        <w:tc>
          <w:tcPr>
            <w:tcW w:w="2517" w:type="dxa"/>
          </w:tcPr>
          <w:p w14:paraId="4A058C29" w14:textId="5B0C222D" w:rsidR="00A419EF" w:rsidRPr="002C186A" w:rsidRDefault="00742F95" w:rsidP="00EF58F1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B</w:t>
            </w:r>
            <w:r w:rsidR="007A60CC" w:rsidRPr="002C186A">
              <w:rPr>
                <w:color w:val="auto"/>
                <w:sz w:val="20"/>
                <w:szCs w:val="20"/>
              </w:rPr>
              <w:t xml:space="preserve">. </w:t>
            </w:r>
            <w:r w:rsidR="00EF58F1" w:rsidRPr="002C186A">
              <w:rPr>
                <w:color w:val="auto"/>
                <w:sz w:val="20"/>
                <w:szCs w:val="20"/>
              </w:rPr>
              <w:t>Primary, working, and transfer standards</w:t>
            </w:r>
          </w:p>
        </w:tc>
        <w:tc>
          <w:tcPr>
            <w:tcW w:w="2518" w:type="dxa"/>
          </w:tcPr>
          <w:p w14:paraId="51DEDBA2" w14:textId="474957E6" w:rsidR="00A419EF" w:rsidRPr="002C186A" w:rsidRDefault="00742F95" w:rsidP="00EF58F1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C</w:t>
            </w:r>
            <w:r w:rsidR="007A60CC" w:rsidRPr="002C186A">
              <w:rPr>
                <w:color w:val="auto"/>
                <w:sz w:val="20"/>
                <w:szCs w:val="20"/>
              </w:rPr>
              <w:t xml:space="preserve">. </w:t>
            </w:r>
            <w:r w:rsidR="00EF58F1" w:rsidRPr="002C186A">
              <w:rPr>
                <w:color w:val="auto"/>
                <w:sz w:val="20"/>
                <w:szCs w:val="20"/>
              </w:rPr>
              <w:t>Reference materials</w:t>
            </w:r>
          </w:p>
        </w:tc>
        <w:tc>
          <w:tcPr>
            <w:tcW w:w="2518" w:type="dxa"/>
          </w:tcPr>
          <w:p w14:paraId="6D9CAE6A" w14:textId="7A6B7800" w:rsidR="00A419EF" w:rsidRPr="002C186A" w:rsidRDefault="00742F95" w:rsidP="00EF58F1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D. </w:t>
            </w:r>
            <w:r w:rsidR="009531AA" w:rsidRPr="002C186A">
              <w:rPr>
                <w:color w:val="auto"/>
                <w:sz w:val="20"/>
                <w:szCs w:val="20"/>
              </w:rPr>
              <w:t>A</w:t>
            </w:r>
            <w:r w:rsidR="00EF58F1" w:rsidRPr="002C186A">
              <w:rPr>
                <w:color w:val="auto"/>
                <w:sz w:val="20"/>
                <w:szCs w:val="20"/>
              </w:rPr>
              <w:t>, B</w:t>
            </w:r>
            <w:r w:rsidR="00B52507" w:rsidRPr="002C186A">
              <w:rPr>
                <w:color w:val="auto"/>
                <w:sz w:val="20"/>
                <w:szCs w:val="20"/>
              </w:rPr>
              <w:t xml:space="preserve"> &amp;</w:t>
            </w:r>
            <w:r w:rsidR="009531AA" w:rsidRPr="002C186A">
              <w:rPr>
                <w:color w:val="auto"/>
                <w:sz w:val="20"/>
                <w:szCs w:val="20"/>
              </w:rPr>
              <w:t xml:space="preserve"> </w:t>
            </w:r>
            <w:r w:rsidR="00EF58F1" w:rsidRPr="002C186A">
              <w:rPr>
                <w:color w:val="auto"/>
                <w:sz w:val="20"/>
                <w:szCs w:val="20"/>
              </w:rPr>
              <w:t>C</w:t>
            </w:r>
          </w:p>
        </w:tc>
      </w:tr>
    </w:tbl>
    <w:bookmarkEnd w:id="2"/>
    <w:bookmarkEnd w:id="3"/>
    <w:p w14:paraId="7D2EB248" w14:textId="5C98156B" w:rsidR="00E918D8" w:rsidRPr="002C186A" w:rsidRDefault="00951702" w:rsidP="00843722">
      <w:pPr>
        <w:pStyle w:val="ListParagraph"/>
        <w:numPr>
          <w:ilvl w:val="0"/>
          <w:numId w:val="5"/>
        </w:numPr>
        <w:tabs>
          <w:tab w:val="left" w:pos="1170"/>
        </w:tabs>
        <w:rPr>
          <w:rFonts w:ascii="Franklin Gothic Book" w:hAnsi="Franklin Gothic Book"/>
          <w:sz w:val="20"/>
          <w:szCs w:val="20"/>
        </w:rPr>
      </w:pPr>
      <w:r w:rsidRPr="002C186A">
        <w:rPr>
          <w:rFonts w:ascii="Franklin Gothic Book" w:hAnsi="Franklin Gothic Book"/>
          <w:sz w:val="20"/>
          <w:szCs w:val="20"/>
        </w:rPr>
        <w:t>The following s</w:t>
      </w:r>
      <w:r w:rsidR="00EF58F1" w:rsidRPr="002C186A">
        <w:rPr>
          <w:rFonts w:ascii="Franklin Gothic Book" w:hAnsi="Franklin Gothic Book"/>
          <w:sz w:val="20"/>
          <w:szCs w:val="20"/>
        </w:rPr>
        <w:t>upport equipment</w:t>
      </w:r>
      <w:r w:rsidRPr="002C186A">
        <w:rPr>
          <w:rFonts w:ascii="Franklin Gothic Book" w:hAnsi="Franklin Gothic Book"/>
          <w:sz w:val="20"/>
          <w:szCs w:val="20"/>
        </w:rPr>
        <w:t xml:space="preserve"> </w:t>
      </w:r>
      <w:r w:rsidR="00EF58F1" w:rsidRPr="002C186A">
        <w:rPr>
          <w:rFonts w:ascii="Franklin Gothic Book" w:hAnsi="Franklin Gothic Book"/>
          <w:sz w:val="20"/>
          <w:szCs w:val="20"/>
        </w:rPr>
        <w:t xml:space="preserve">requires calibration </w:t>
      </w:r>
      <w:r w:rsidRPr="002C186A">
        <w:rPr>
          <w:rFonts w:ascii="Franklin Gothic Book" w:hAnsi="Franklin Gothic Book"/>
          <w:sz w:val="20"/>
          <w:szCs w:val="20"/>
        </w:rPr>
        <w:t>except</w:t>
      </w:r>
      <w:r w:rsidR="00E918D8" w:rsidRPr="002C186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2C186A" w:rsidRPr="002C186A" w14:paraId="2215682C" w14:textId="77777777" w:rsidTr="00C842A2">
        <w:tc>
          <w:tcPr>
            <w:tcW w:w="1530" w:type="dxa"/>
          </w:tcPr>
          <w:p w14:paraId="02FE2EFF" w14:textId="7CB31A37" w:rsidR="00E918D8" w:rsidRPr="002C186A" w:rsidRDefault="00E918D8" w:rsidP="00EF58F1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A. </w:t>
            </w:r>
            <w:r w:rsidR="00EF58F1" w:rsidRPr="002C186A">
              <w:rPr>
                <w:color w:val="auto"/>
                <w:sz w:val="20"/>
                <w:szCs w:val="20"/>
              </w:rPr>
              <w:t>Incubators</w:t>
            </w:r>
          </w:p>
        </w:tc>
        <w:tc>
          <w:tcPr>
            <w:tcW w:w="2517" w:type="dxa"/>
          </w:tcPr>
          <w:p w14:paraId="6C5D92B3" w14:textId="2CEA3850" w:rsidR="00E918D8" w:rsidRPr="002C186A" w:rsidRDefault="00E918D8" w:rsidP="00EF58F1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B. </w:t>
            </w:r>
            <w:proofErr w:type="spellStart"/>
            <w:r w:rsidR="00951702" w:rsidRPr="002C186A">
              <w:rPr>
                <w:color w:val="auto"/>
                <w:sz w:val="20"/>
                <w:szCs w:val="20"/>
              </w:rPr>
              <w:t>Waterbaths</w:t>
            </w:r>
            <w:proofErr w:type="spellEnd"/>
          </w:p>
        </w:tc>
        <w:tc>
          <w:tcPr>
            <w:tcW w:w="2518" w:type="dxa"/>
          </w:tcPr>
          <w:p w14:paraId="5CD1C15B" w14:textId="20018360" w:rsidR="00E918D8" w:rsidRPr="002C186A" w:rsidRDefault="00E918D8" w:rsidP="0095170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C. </w:t>
            </w:r>
            <w:r w:rsidR="007017C7" w:rsidRPr="002C186A">
              <w:rPr>
                <w:color w:val="auto"/>
                <w:sz w:val="20"/>
                <w:szCs w:val="20"/>
              </w:rPr>
              <w:t>Stir plates</w:t>
            </w:r>
          </w:p>
        </w:tc>
        <w:tc>
          <w:tcPr>
            <w:tcW w:w="2518" w:type="dxa"/>
          </w:tcPr>
          <w:p w14:paraId="75F3B937" w14:textId="46760031" w:rsidR="00E918D8" w:rsidRPr="002C186A" w:rsidRDefault="00E918D8" w:rsidP="0095170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D. </w:t>
            </w:r>
            <w:r w:rsidR="00951702" w:rsidRPr="002C186A">
              <w:rPr>
                <w:color w:val="auto"/>
                <w:sz w:val="20"/>
                <w:szCs w:val="20"/>
              </w:rPr>
              <w:t>Thermometers</w:t>
            </w:r>
          </w:p>
        </w:tc>
      </w:tr>
    </w:tbl>
    <w:p w14:paraId="15980EF2" w14:textId="517A922C" w:rsidR="00843722" w:rsidRPr="002C186A" w:rsidRDefault="007017C7" w:rsidP="007017C7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2C186A">
        <w:rPr>
          <w:rFonts w:ascii="Franklin Gothic Book" w:hAnsi="Franklin Gothic Book"/>
          <w:sz w:val="20"/>
          <w:szCs w:val="20"/>
        </w:rPr>
        <w:t>Equipment that has been mishandled, gives suspect results, is defective, or gives suspect results shall be</w:t>
      </w:r>
      <w:proofErr w:type="gramStart"/>
      <w:r w:rsidRPr="002C186A">
        <w:rPr>
          <w:rFonts w:ascii="Franklin Gothic Book" w:hAnsi="Franklin Gothic Book"/>
          <w:sz w:val="20"/>
          <w:szCs w:val="20"/>
        </w:rPr>
        <w:t>:.</w:t>
      </w:r>
      <w:r w:rsidR="00843722" w:rsidRPr="002C186A">
        <w:rPr>
          <w:rFonts w:ascii="Franklin Gothic Book" w:hAnsi="Franklin Gothic Book"/>
          <w:sz w:val="20"/>
          <w:szCs w:val="20"/>
        </w:rPr>
        <w:t>?</w:t>
      </w:r>
      <w:proofErr w:type="gramEnd"/>
      <w:r w:rsidR="00843722" w:rsidRPr="002C186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517"/>
        <w:gridCol w:w="2518"/>
        <w:gridCol w:w="2518"/>
      </w:tblGrid>
      <w:tr w:rsidR="002C186A" w:rsidRPr="002C186A" w14:paraId="626F2155" w14:textId="77777777" w:rsidTr="00C842A2">
        <w:tc>
          <w:tcPr>
            <w:tcW w:w="1530" w:type="dxa"/>
          </w:tcPr>
          <w:p w14:paraId="058227FE" w14:textId="308634C4" w:rsidR="00843722" w:rsidRPr="002C186A" w:rsidRDefault="00843722" w:rsidP="007017C7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A. </w:t>
            </w:r>
            <w:r w:rsidR="007017C7" w:rsidRPr="002C186A">
              <w:rPr>
                <w:color w:val="auto"/>
                <w:sz w:val="20"/>
                <w:szCs w:val="20"/>
              </w:rPr>
              <w:t>Taken out of service</w:t>
            </w:r>
          </w:p>
        </w:tc>
        <w:tc>
          <w:tcPr>
            <w:tcW w:w="2517" w:type="dxa"/>
          </w:tcPr>
          <w:p w14:paraId="6D44F916" w14:textId="2DC6E110" w:rsidR="00843722" w:rsidRPr="002C186A" w:rsidRDefault="00843722" w:rsidP="007017C7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B. </w:t>
            </w:r>
            <w:r w:rsidR="007017C7" w:rsidRPr="002C186A">
              <w:rPr>
                <w:color w:val="auto"/>
                <w:sz w:val="20"/>
                <w:szCs w:val="20"/>
              </w:rPr>
              <w:t>Clearly marked as being out of service</w:t>
            </w:r>
          </w:p>
        </w:tc>
        <w:tc>
          <w:tcPr>
            <w:tcW w:w="2518" w:type="dxa"/>
          </w:tcPr>
          <w:p w14:paraId="0A14BB94" w14:textId="1B024095" w:rsidR="00843722" w:rsidRPr="002C186A" w:rsidRDefault="00843722" w:rsidP="007017C7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C. </w:t>
            </w:r>
            <w:r w:rsidR="007017C7" w:rsidRPr="002C186A">
              <w:rPr>
                <w:color w:val="auto"/>
                <w:sz w:val="20"/>
                <w:szCs w:val="20"/>
              </w:rPr>
              <w:t>Decommissioned and discarded immediately</w:t>
            </w:r>
          </w:p>
        </w:tc>
        <w:tc>
          <w:tcPr>
            <w:tcW w:w="2518" w:type="dxa"/>
          </w:tcPr>
          <w:p w14:paraId="586CD689" w14:textId="2F61B818" w:rsidR="00843722" w:rsidRPr="002C186A" w:rsidRDefault="00843722" w:rsidP="00C842A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D. A &amp; B only</w:t>
            </w:r>
          </w:p>
        </w:tc>
      </w:tr>
    </w:tbl>
    <w:p w14:paraId="3E10BEF5" w14:textId="664675D4" w:rsidR="00F840CC" w:rsidRPr="002C186A" w:rsidRDefault="00843722" w:rsidP="00E918D8">
      <w:pPr>
        <w:widowControl/>
        <w:spacing w:after="120"/>
        <w:rPr>
          <w:color w:val="auto"/>
          <w:sz w:val="20"/>
          <w:szCs w:val="20"/>
        </w:rPr>
      </w:pPr>
      <w:r w:rsidRPr="002C186A">
        <w:rPr>
          <w:color w:val="auto"/>
          <w:sz w:val="20"/>
          <w:szCs w:val="20"/>
        </w:rPr>
        <w:t>10</w:t>
      </w:r>
      <w:r w:rsidR="00E918D8" w:rsidRPr="002C186A">
        <w:rPr>
          <w:color w:val="auto"/>
          <w:sz w:val="20"/>
          <w:szCs w:val="20"/>
        </w:rPr>
        <w:t xml:space="preserve">.  </w:t>
      </w:r>
      <w:r w:rsidR="008E34D5" w:rsidRPr="002C186A">
        <w:rPr>
          <w:color w:val="auto"/>
          <w:sz w:val="20"/>
          <w:szCs w:val="20"/>
        </w:rPr>
        <w:t xml:space="preserve">All the following are correct regarding calibrated equipment except: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2C186A" w:rsidRPr="002C186A" w14:paraId="2D6647C3" w14:textId="77777777" w:rsidTr="006D5690">
        <w:tc>
          <w:tcPr>
            <w:tcW w:w="1530" w:type="dxa"/>
          </w:tcPr>
          <w:p w14:paraId="3EEE3A67" w14:textId="6A490989" w:rsidR="007A60CC" w:rsidRPr="002C186A" w:rsidRDefault="00742F95" w:rsidP="008E34D5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A</w:t>
            </w:r>
            <w:r w:rsidR="00254AF2" w:rsidRPr="002C186A">
              <w:rPr>
                <w:color w:val="auto"/>
                <w:sz w:val="20"/>
                <w:szCs w:val="20"/>
              </w:rPr>
              <w:t>.</w:t>
            </w:r>
            <w:r w:rsidR="002E551D" w:rsidRPr="002C186A">
              <w:rPr>
                <w:color w:val="auto"/>
                <w:sz w:val="20"/>
                <w:szCs w:val="20"/>
              </w:rPr>
              <w:t xml:space="preserve"> </w:t>
            </w:r>
            <w:r w:rsidR="008E34D5" w:rsidRPr="002C186A">
              <w:rPr>
                <w:color w:val="auto"/>
                <w:sz w:val="20"/>
                <w:szCs w:val="20"/>
              </w:rPr>
              <w:t>Can be l</w:t>
            </w:r>
            <w:r w:rsidR="007017C7" w:rsidRPr="002C186A">
              <w:rPr>
                <w:color w:val="auto"/>
                <w:sz w:val="20"/>
                <w:szCs w:val="20"/>
              </w:rPr>
              <w:t>abelled</w:t>
            </w:r>
            <w:r w:rsidR="00753531" w:rsidRPr="002C186A">
              <w:rPr>
                <w:color w:val="auto"/>
                <w:sz w:val="20"/>
                <w:szCs w:val="20"/>
              </w:rPr>
              <w:t xml:space="preserve"> </w:t>
            </w:r>
            <w:r w:rsidR="008E34D5" w:rsidRPr="002C186A">
              <w:rPr>
                <w:color w:val="auto"/>
                <w:sz w:val="20"/>
                <w:szCs w:val="20"/>
              </w:rPr>
              <w:t xml:space="preserve">to indicate calibration status </w:t>
            </w:r>
          </w:p>
        </w:tc>
        <w:tc>
          <w:tcPr>
            <w:tcW w:w="2613" w:type="dxa"/>
          </w:tcPr>
          <w:p w14:paraId="54436299" w14:textId="29080914" w:rsidR="007A60CC" w:rsidRPr="002C186A" w:rsidRDefault="00742F95" w:rsidP="008E34D5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B</w:t>
            </w:r>
            <w:r w:rsidR="007A60CC" w:rsidRPr="002C186A">
              <w:rPr>
                <w:color w:val="auto"/>
                <w:sz w:val="20"/>
                <w:szCs w:val="20"/>
              </w:rPr>
              <w:t xml:space="preserve">. </w:t>
            </w:r>
            <w:r w:rsidR="008E34D5" w:rsidRPr="002C186A">
              <w:rPr>
                <w:color w:val="auto"/>
                <w:sz w:val="20"/>
                <w:szCs w:val="20"/>
              </w:rPr>
              <w:t>Can be coded to indicated calibration status</w:t>
            </w:r>
          </w:p>
        </w:tc>
        <w:tc>
          <w:tcPr>
            <w:tcW w:w="2520" w:type="dxa"/>
          </w:tcPr>
          <w:p w14:paraId="382A77FA" w14:textId="62441E3E" w:rsidR="007A60CC" w:rsidRPr="002C186A" w:rsidRDefault="00440147" w:rsidP="008E34D5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 xml:space="preserve">C.  </w:t>
            </w:r>
            <w:r w:rsidR="008E34D5" w:rsidRPr="002C186A">
              <w:rPr>
                <w:color w:val="auto"/>
                <w:sz w:val="20"/>
                <w:szCs w:val="20"/>
              </w:rPr>
              <w:t xml:space="preserve">Can be otherwise </w:t>
            </w:r>
            <w:r w:rsidR="007017C7" w:rsidRPr="002C186A">
              <w:rPr>
                <w:color w:val="auto"/>
                <w:sz w:val="20"/>
                <w:szCs w:val="20"/>
              </w:rPr>
              <w:t>identified to indicate the status of the calibration</w:t>
            </w:r>
          </w:p>
        </w:tc>
        <w:tc>
          <w:tcPr>
            <w:tcW w:w="2697" w:type="dxa"/>
          </w:tcPr>
          <w:p w14:paraId="504976FA" w14:textId="5AC2E57B" w:rsidR="00843722" w:rsidRPr="002C186A" w:rsidRDefault="00742F95" w:rsidP="008E34D5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C186A">
              <w:rPr>
                <w:color w:val="auto"/>
                <w:sz w:val="20"/>
                <w:szCs w:val="20"/>
              </w:rPr>
              <w:t>D</w:t>
            </w:r>
            <w:r w:rsidR="007A60CC" w:rsidRPr="002C186A">
              <w:rPr>
                <w:color w:val="auto"/>
                <w:sz w:val="20"/>
                <w:szCs w:val="20"/>
              </w:rPr>
              <w:t xml:space="preserve">. </w:t>
            </w:r>
            <w:r w:rsidR="008E34D5" w:rsidRPr="002C186A">
              <w:rPr>
                <w:color w:val="auto"/>
                <w:sz w:val="20"/>
                <w:szCs w:val="20"/>
              </w:rPr>
              <w:t>All equipment in the laboratory is assumed to be calibrated so no action or labelling is required</w:t>
            </w:r>
          </w:p>
        </w:tc>
      </w:tr>
    </w:tbl>
    <w:p w14:paraId="067DBD51" w14:textId="7A2FFEA0" w:rsidR="00994AA6" w:rsidRPr="009978C0" w:rsidRDefault="00994AA6" w:rsidP="008E34D5">
      <w:pPr>
        <w:pStyle w:val="ListParagraph"/>
        <w:widowControl/>
        <w:spacing w:after="120"/>
        <w:ind w:left="360" w:hanging="360"/>
        <w:rPr>
          <w:rFonts w:ascii="Franklin Gothic Book" w:hAnsi="Franklin Gothic Book"/>
          <w:b/>
          <w:sz w:val="20"/>
          <w:szCs w:val="20"/>
        </w:rPr>
      </w:pPr>
    </w:p>
    <w:sectPr w:rsidR="00994AA6" w:rsidRPr="009978C0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EDCFE" w14:textId="77777777" w:rsidR="002C27D8" w:rsidRDefault="002C27D8" w:rsidP="00380774">
      <w:r>
        <w:separator/>
      </w:r>
    </w:p>
  </w:endnote>
  <w:endnote w:type="continuationSeparator" w:id="0">
    <w:p w14:paraId="23EFBD9F" w14:textId="77777777" w:rsidR="002C27D8" w:rsidRDefault="002C27D8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87D33" w14:textId="77777777" w:rsidR="002C27D8" w:rsidRDefault="002C27D8" w:rsidP="00380774">
      <w:r>
        <w:separator/>
      </w:r>
    </w:p>
  </w:footnote>
  <w:footnote w:type="continuationSeparator" w:id="0">
    <w:p w14:paraId="3652F505" w14:textId="77777777" w:rsidR="002C27D8" w:rsidRDefault="002C27D8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B2B6A"/>
    <w:rsid w:val="002C186A"/>
    <w:rsid w:val="002C27D8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0147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D5690"/>
    <w:rsid w:val="006E56B8"/>
    <w:rsid w:val="007017C7"/>
    <w:rsid w:val="00733692"/>
    <w:rsid w:val="00740143"/>
    <w:rsid w:val="00742F95"/>
    <w:rsid w:val="00753531"/>
    <w:rsid w:val="00760C68"/>
    <w:rsid w:val="007813F3"/>
    <w:rsid w:val="007A60CC"/>
    <w:rsid w:val="007F1637"/>
    <w:rsid w:val="007F52FF"/>
    <w:rsid w:val="00812C65"/>
    <w:rsid w:val="00825CC4"/>
    <w:rsid w:val="00843722"/>
    <w:rsid w:val="00845F93"/>
    <w:rsid w:val="0087734D"/>
    <w:rsid w:val="00890190"/>
    <w:rsid w:val="00891CD4"/>
    <w:rsid w:val="008E34D5"/>
    <w:rsid w:val="00925629"/>
    <w:rsid w:val="00940780"/>
    <w:rsid w:val="00943B9A"/>
    <w:rsid w:val="00951702"/>
    <w:rsid w:val="00952635"/>
    <w:rsid w:val="009531AA"/>
    <w:rsid w:val="00961282"/>
    <w:rsid w:val="009647B0"/>
    <w:rsid w:val="00964ABC"/>
    <w:rsid w:val="00994AA6"/>
    <w:rsid w:val="009978C0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354FF"/>
    <w:rsid w:val="00B52507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443C"/>
    <w:rsid w:val="00E918D8"/>
    <w:rsid w:val="00EF58F1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Q77AU6S3KYZS-4287-224</_dlc_DocId>
    <_dlc_DocIdUrl xmlns="5af08be3-da31-4ed0-bd15-c2f68cc29029">
      <Url>https://www.aphlweb.org/aphl_departments/FS/dfsr/iso17025/_layouts/15/DocIdRedir.aspx?ID=Q77AU6S3KYZS-4287-224</Url>
      <Description>Q77AU6S3KYZS-4287-224</Description>
    </_dlc_DocIdUrl>
    <Module xmlns="fa1fb52d-8fe2-4f49-9882-b9b989e07643">09. Equipment and Calibration</Module>
    <Final xmlns="fa1fb52d-8fe2-4f49-9882-b9b989e07643">Ready for Production</Fin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C15FE-2E6D-4253-B62B-235D878B4086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A77771D9-4BEA-4E8F-8F96-830BFD153B4A}"/>
</file>

<file path=customXml/itemProps4.xml><?xml version="1.0" encoding="utf-8"?>
<ds:datastoreItem xmlns:ds="http://schemas.openxmlformats.org/officeDocument/2006/customXml" ds:itemID="{0825E990-E8EF-4D8E-BAFB-32C7F5D2C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Max Salfinger</cp:lastModifiedBy>
  <cp:revision>2</cp:revision>
  <cp:lastPrinted>2016-11-30T15:45:00Z</cp:lastPrinted>
  <dcterms:created xsi:type="dcterms:W3CDTF">2017-08-14T13:38:00Z</dcterms:created>
  <dcterms:modified xsi:type="dcterms:W3CDTF">2017-08-14T13:38:00Z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ebcb8e2b-3d98-4f09-ab29-04bf10aa4697</vt:lpwstr>
  </property>
</Properties>
</file>